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A67630" w14:textId="77777777" w:rsidR="00BE445E" w:rsidRDefault="00BE445E" w:rsidP="00BE445E">
      <w:pPr>
        <w:jc w:val="center"/>
        <w:rPr>
          <w:lang w:val="en-US"/>
        </w:rPr>
      </w:pPr>
      <w:bookmarkStart w:id="0" w:name="_GoBack"/>
      <w:bookmarkEnd w:id="0"/>
    </w:p>
    <w:p w14:paraId="5FA6A588" w14:textId="77777777" w:rsidR="00BE445E" w:rsidRDefault="00BE445E" w:rsidP="00BE445E">
      <w:pPr>
        <w:jc w:val="center"/>
        <w:rPr>
          <w:lang w:val="en-US"/>
        </w:rPr>
      </w:pPr>
    </w:p>
    <w:p w14:paraId="266A3DD3" w14:textId="77777777" w:rsidR="00BE445E" w:rsidRDefault="00BE445E" w:rsidP="00BE445E">
      <w:pPr>
        <w:jc w:val="center"/>
        <w:rPr>
          <w:lang w:val="en-US"/>
        </w:rPr>
      </w:pPr>
    </w:p>
    <w:p w14:paraId="2C6554A8" w14:textId="77777777" w:rsidR="00BE445E" w:rsidRDefault="00BE445E" w:rsidP="00BE445E">
      <w:pPr>
        <w:jc w:val="center"/>
        <w:rPr>
          <w:lang w:val="en-US"/>
        </w:rPr>
      </w:pPr>
    </w:p>
    <w:p w14:paraId="73D71A49" w14:textId="77777777" w:rsidR="00BE445E" w:rsidRDefault="00BE445E" w:rsidP="00BE445E">
      <w:pPr>
        <w:jc w:val="center"/>
        <w:rPr>
          <w:lang w:val="en-US"/>
        </w:rPr>
      </w:pPr>
    </w:p>
    <w:p w14:paraId="24BED0ED" w14:textId="77777777" w:rsidR="00BE445E" w:rsidRDefault="00BE445E" w:rsidP="00BE445E">
      <w:pPr>
        <w:jc w:val="center"/>
        <w:rPr>
          <w:lang w:val="en-US"/>
        </w:rPr>
      </w:pPr>
    </w:p>
    <w:p w14:paraId="112E962B" w14:textId="77777777" w:rsidR="00BE445E" w:rsidRDefault="00BE445E" w:rsidP="00BE445E">
      <w:pPr>
        <w:jc w:val="center"/>
        <w:rPr>
          <w:lang w:val="en-US"/>
        </w:rPr>
      </w:pPr>
    </w:p>
    <w:p w14:paraId="13FD3175" w14:textId="77777777" w:rsidR="00BE445E" w:rsidRDefault="00BE445E" w:rsidP="00BE445E">
      <w:pPr>
        <w:jc w:val="center"/>
        <w:rPr>
          <w:lang w:val="en-US"/>
        </w:rPr>
      </w:pPr>
    </w:p>
    <w:p w14:paraId="202A73E2" w14:textId="77777777" w:rsidR="00BE445E" w:rsidRDefault="00BE445E" w:rsidP="00BE445E">
      <w:pPr>
        <w:jc w:val="center"/>
        <w:rPr>
          <w:lang w:val="en-US"/>
        </w:rPr>
      </w:pPr>
    </w:p>
    <w:p w14:paraId="4CCB9509" w14:textId="77777777" w:rsidR="00BE445E" w:rsidRDefault="00BE445E" w:rsidP="00BE445E">
      <w:pPr>
        <w:jc w:val="center"/>
        <w:rPr>
          <w:lang w:val="en-US"/>
        </w:rPr>
      </w:pPr>
    </w:p>
    <w:p w14:paraId="5105EC6D" w14:textId="77777777" w:rsidR="00BE445E" w:rsidRDefault="00BE445E" w:rsidP="00BE445E">
      <w:pPr>
        <w:jc w:val="center"/>
        <w:rPr>
          <w:lang w:val="en-US"/>
        </w:rPr>
      </w:pPr>
    </w:p>
    <w:p w14:paraId="5BD02B22" w14:textId="4CDA3CF2" w:rsidR="00BE445E" w:rsidRDefault="00BE445E" w:rsidP="00BE445E">
      <w:pPr>
        <w:jc w:val="center"/>
        <w:rPr>
          <w:lang w:val="en-US"/>
        </w:rPr>
      </w:pPr>
    </w:p>
    <w:p w14:paraId="6B60F092" w14:textId="77777777" w:rsidR="00BE445E" w:rsidRDefault="00BE445E" w:rsidP="00BE445E">
      <w:pPr>
        <w:jc w:val="center"/>
        <w:rPr>
          <w:lang w:val="en-US"/>
        </w:rPr>
      </w:pPr>
    </w:p>
    <w:p w14:paraId="76B2CB17" w14:textId="77777777" w:rsidR="00BE445E" w:rsidRDefault="00BE445E" w:rsidP="00BE445E">
      <w:pPr>
        <w:jc w:val="center"/>
        <w:rPr>
          <w:lang w:val="en-US"/>
        </w:rPr>
      </w:pPr>
    </w:p>
    <w:p w14:paraId="1D6D6BB9" w14:textId="4292D03C" w:rsidR="00BE445E" w:rsidRDefault="00FF2CAE" w:rsidP="00BE445E">
      <w:pPr>
        <w:jc w:val="center"/>
        <w:rPr>
          <w:lang w:val="en-US"/>
        </w:rPr>
      </w:pPr>
      <w:r w:rsidRPr="00BE445E">
        <w:rPr>
          <w:lang w:val="en-US"/>
        </w:rPr>
        <w:t xml:space="preserve">Suicide </w:t>
      </w:r>
      <w:r>
        <w:rPr>
          <w:lang w:val="en-US"/>
        </w:rPr>
        <w:t>in</w:t>
      </w:r>
      <w:r w:rsidRPr="00BE445E">
        <w:rPr>
          <w:lang w:val="en-US"/>
        </w:rPr>
        <w:t xml:space="preserve"> Criminal Justice Institutions</w:t>
      </w:r>
    </w:p>
    <w:p w14:paraId="31FDEDA1" w14:textId="730DAEC3" w:rsidR="00BE445E" w:rsidRDefault="00FF2CAE" w:rsidP="00BE445E">
      <w:pPr>
        <w:jc w:val="center"/>
        <w:rPr>
          <w:lang w:val="en-US"/>
        </w:rPr>
      </w:pPr>
      <w:r>
        <w:rPr>
          <w:lang w:val="en-US"/>
        </w:rPr>
        <w:t>Name</w:t>
      </w:r>
    </w:p>
    <w:p w14:paraId="5603031C" w14:textId="7BECCEBF" w:rsidR="00BE445E" w:rsidRDefault="00FF2CAE" w:rsidP="00BE445E">
      <w:pPr>
        <w:jc w:val="center"/>
        <w:rPr>
          <w:lang w:val="en-US"/>
        </w:rPr>
      </w:pPr>
      <w:r>
        <w:rPr>
          <w:lang w:val="en-US"/>
        </w:rPr>
        <w:t>Institution</w:t>
      </w:r>
    </w:p>
    <w:p w14:paraId="3799D152" w14:textId="44261FBA" w:rsidR="00BE445E" w:rsidRDefault="00BE445E">
      <w:pPr>
        <w:rPr>
          <w:lang w:val="en-US"/>
        </w:rPr>
      </w:pPr>
    </w:p>
    <w:p w14:paraId="059BEB7B" w14:textId="49A5770B" w:rsidR="00BE445E" w:rsidRDefault="00BE445E">
      <w:pPr>
        <w:rPr>
          <w:lang w:val="en-US"/>
        </w:rPr>
      </w:pPr>
    </w:p>
    <w:p w14:paraId="6BD4C506" w14:textId="5C9763D3" w:rsidR="00BE445E" w:rsidRDefault="00BE445E">
      <w:pPr>
        <w:rPr>
          <w:lang w:val="en-US"/>
        </w:rPr>
      </w:pPr>
    </w:p>
    <w:p w14:paraId="36DD7E2E" w14:textId="6A3E6D18" w:rsidR="00BE445E" w:rsidRDefault="00BE445E">
      <w:pPr>
        <w:rPr>
          <w:lang w:val="en-US"/>
        </w:rPr>
      </w:pPr>
    </w:p>
    <w:p w14:paraId="77EC2F5F" w14:textId="3AE240CE" w:rsidR="00BE445E" w:rsidRDefault="00BE445E">
      <w:pPr>
        <w:rPr>
          <w:lang w:val="en-US"/>
        </w:rPr>
      </w:pPr>
    </w:p>
    <w:p w14:paraId="14DCEAE4" w14:textId="7A2BEE50" w:rsidR="00BE445E" w:rsidRDefault="00BE445E">
      <w:pPr>
        <w:rPr>
          <w:lang w:val="en-US"/>
        </w:rPr>
      </w:pPr>
    </w:p>
    <w:p w14:paraId="026269D4" w14:textId="148299BF" w:rsidR="00BE445E" w:rsidRDefault="00BE445E">
      <w:pPr>
        <w:rPr>
          <w:lang w:val="en-US"/>
        </w:rPr>
      </w:pPr>
    </w:p>
    <w:p w14:paraId="715102E9" w14:textId="4BE9A346" w:rsidR="00BE445E" w:rsidRDefault="00BE445E">
      <w:pPr>
        <w:rPr>
          <w:lang w:val="en-US"/>
        </w:rPr>
      </w:pPr>
    </w:p>
    <w:p w14:paraId="5D298D5E" w14:textId="1E21404B" w:rsidR="00BE445E" w:rsidRDefault="00BE445E">
      <w:pPr>
        <w:rPr>
          <w:lang w:val="en-US"/>
        </w:rPr>
      </w:pPr>
    </w:p>
    <w:p w14:paraId="7CAC3B5C" w14:textId="766E2883" w:rsidR="00BE445E" w:rsidRDefault="00BE445E">
      <w:pPr>
        <w:rPr>
          <w:lang w:val="en-US"/>
        </w:rPr>
      </w:pPr>
    </w:p>
    <w:p w14:paraId="7B151F99" w14:textId="746A3414" w:rsidR="00BE445E" w:rsidRDefault="00BE445E">
      <w:pPr>
        <w:rPr>
          <w:lang w:val="en-US"/>
        </w:rPr>
      </w:pPr>
    </w:p>
    <w:p w14:paraId="295CDB14" w14:textId="6A4D52D3" w:rsidR="00BE445E" w:rsidRDefault="00BE445E">
      <w:pPr>
        <w:rPr>
          <w:lang w:val="en-US"/>
        </w:rPr>
      </w:pPr>
    </w:p>
    <w:p w14:paraId="336F4A36" w14:textId="4F7EC020" w:rsidR="00BE445E" w:rsidRDefault="00BE445E">
      <w:pPr>
        <w:rPr>
          <w:lang w:val="en-US"/>
        </w:rPr>
      </w:pPr>
    </w:p>
    <w:p w14:paraId="76E9D51A" w14:textId="48FBAA22" w:rsidR="003B567E" w:rsidRDefault="00FF2CAE" w:rsidP="00BE445E">
      <w:pPr>
        <w:spacing w:line="480" w:lineRule="auto"/>
        <w:ind w:firstLine="720"/>
        <w:jc w:val="both"/>
        <w:rPr>
          <w:lang w:val="en-US"/>
        </w:rPr>
      </w:pPr>
      <w:r>
        <w:rPr>
          <w:lang w:val="en-US"/>
        </w:rPr>
        <w:lastRenderedPageBreak/>
        <w:t>The wellbeing of inmates is an important aspect which should be significantly considered especially considering that they are vulnerable due to the prison environment where they have limited freedom in addition to serving their respective sentences. There is a need to ensure that they are mentally strong where they can understand essential elements that they need to consider in providing that they limit their vulnerabilities</w:t>
      </w:r>
      <w:r w:rsidR="00BE445E">
        <w:rPr>
          <w:lang w:val="en-US"/>
        </w:rPr>
        <w:t xml:space="preserve"> (Stones et al., 2015).</w:t>
      </w:r>
      <w:r>
        <w:rPr>
          <w:lang w:val="en-US"/>
        </w:rPr>
        <w:t xml:space="preserve"> Developing a task force is an essential step in solving prison related death since it focuses on improving the mental state of prisoners which is crucial in having a successful development. Forensic </w:t>
      </w:r>
      <w:r w:rsidR="00B55E60">
        <w:rPr>
          <w:lang w:val="en-US"/>
        </w:rPr>
        <w:t>psychologists</w:t>
      </w:r>
      <w:r>
        <w:rPr>
          <w:lang w:val="en-US"/>
        </w:rPr>
        <w:t xml:space="preserve"> have an essential role in understanding essential factors that need to be considered considering that they are risk factors in the likelihood of </w:t>
      </w:r>
      <w:r w:rsidR="00B55E60">
        <w:rPr>
          <w:lang w:val="en-US"/>
        </w:rPr>
        <w:t>committing</w:t>
      </w:r>
      <w:r>
        <w:rPr>
          <w:lang w:val="en-US"/>
        </w:rPr>
        <w:t xml:space="preserve"> suicide or any other serious mental issues.</w:t>
      </w:r>
    </w:p>
    <w:p w14:paraId="2991F319" w14:textId="13E95EE6" w:rsidR="00785722" w:rsidRDefault="00FF2CAE" w:rsidP="00BE445E">
      <w:pPr>
        <w:spacing w:line="480" w:lineRule="auto"/>
        <w:ind w:firstLine="720"/>
        <w:jc w:val="both"/>
        <w:rPr>
          <w:lang w:val="en-US"/>
        </w:rPr>
      </w:pPr>
      <w:r w:rsidRPr="00785722">
        <w:rPr>
          <w:lang w:val="en-US"/>
        </w:rPr>
        <w:t xml:space="preserve">Who would serve on the task force? </w:t>
      </w:r>
    </w:p>
    <w:p w14:paraId="215619A1" w14:textId="453C0B19" w:rsidR="00B55E60" w:rsidRDefault="00FF2CAE" w:rsidP="00BE445E">
      <w:pPr>
        <w:spacing w:line="480" w:lineRule="auto"/>
        <w:ind w:firstLine="720"/>
        <w:jc w:val="both"/>
        <w:rPr>
          <w:lang w:val="en-US"/>
        </w:rPr>
      </w:pPr>
      <w:r>
        <w:rPr>
          <w:lang w:val="en-US"/>
        </w:rPr>
        <w:t>Ensuring that individuals who serve in the task force are effectively engaged is essential which means that they should be directly involved with inmates and be in a position where it would be possible to manage better outcomes based on the underlying issues. Therefore individuals who would serve in the task force include prison guards since they  conduct regular supervisions within individual cells and are in a better position to identify  various behavioural changes among the inmates and ensure that effective processes are taken into consideration in order to help in creating a profoundly transformed setting</w:t>
      </w:r>
      <w:r w:rsidR="00BE445E">
        <w:rPr>
          <w:lang w:val="en-US"/>
        </w:rPr>
        <w:t xml:space="preserve"> (Cole et al., 2018).</w:t>
      </w:r>
    </w:p>
    <w:p w14:paraId="7AEA4EC8" w14:textId="5424042C" w:rsidR="00785722" w:rsidRDefault="00FF2CAE" w:rsidP="00BE445E">
      <w:pPr>
        <w:spacing w:line="480" w:lineRule="auto"/>
        <w:ind w:firstLine="720"/>
        <w:jc w:val="both"/>
        <w:rPr>
          <w:lang w:val="en-US"/>
        </w:rPr>
      </w:pPr>
      <w:r>
        <w:rPr>
          <w:lang w:val="en-US"/>
        </w:rPr>
        <w:t xml:space="preserve">The interactive environment between correctional officers and inmates is essential in improving the relationship </w:t>
      </w:r>
      <w:r w:rsidR="00B87CEE">
        <w:rPr>
          <w:lang w:val="en-US"/>
        </w:rPr>
        <w:t>between</w:t>
      </w:r>
      <w:r>
        <w:rPr>
          <w:lang w:val="en-US"/>
        </w:rPr>
        <w:t xml:space="preserve"> inmates. The infirmary officer should also be part of the task force because they are in charge of the health of inmates and can understand the changes in behaviour </w:t>
      </w:r>
      <w:r w:rsidR="00B87CEE">
        <w:rPr>
          <w:lang w:val="en-US"/>
        </w:rPr>
        <w:t>from a</w:t>
      </w:r>
      <w:r>
        <w:rPr>
          <w:lang w:val="en-US"/>
        </w:rPr>
        <w:t xml:space="preserve"> medical point of view. The integration of these concepts is essential and help understand fundamental changes which help in creating a strong level of commitment. The prison commanders should also be part of the taskforce to represent the administration to </w:t>
      </w:r>
      <w:r>
        <w:rPr>
          <w:lang w:val="en-US"/>
        </w:rPr>
        <w:lastRenderedPageBreak/>
        <w:t>determine the success of the task force and ensure that they transmit positive outcomes of the task force to other prisons to help create better results</w:t>
      </w:r>
      <w:r w:rsidR="00BE445E">
        <w:rPr>
          <w:lang w:val="en-US"/>
        </w:rPr>
        <w:t xml:space="preserve"> (</w:t>
      </w:r>
      <w:r w:rsidR="00BE445E" w:rsidRPr="00BE445E">
        <w:t>Liebling</w:t>
      </w:r>
      <w:r w:rsidR="00BE445E">
        <w:rPr>
          <w:lang w:val="en-US"/>
        </w:rPr>
        <w:t xml:space="preserve"> </w:t>
      </w:r>
      <w:r w:rsidR="00BE445E" w:rsidRPr="00BE445E">
        <w:t>&amp; Ludlow, 2016).</w:t>
      </w:r>
    </w:p>
    <w:p w14:paraId="5A72FC81" w14:textId="2D222D79" w:rsidR="00805095" w:rsidRDefault="00FF2CAE" w:rsidP="00BE445E">
      <w:pPr>
        <w:spacing w:line="480" w:lineRule="auto"/>
        <w:ind w:firstLine="720"/>
        <w:jc w:val="both"/>
        <w:rPr>
          <w:lang w:val="en-US"/>
        </w:rPr>
      </w:pPr>
      <w:r w:rsidRPr="00805095">
        <w:rPr>
          <w:lang w:val="en-US"/>
        </w:rPr>
        <w:t xml:space="preserve">Who would be involved in suicide prevention or identification if you were able to intervene at the institution? </w:t>
      </w:r>
    </w:p>
    <w:p w14:paraId="13373FF8" w14:textId="59CDABFA" w:rsidR="00805095" w:rsidRDefault="00FF2CAE" w:rsidP="00BE445E">
      <w:pPr>
        <w:spacing w:line="480" w:lineRule="auto"/>
        <w:ind w:firstLine="720"/>
        <w:jc w:val="both"/>
        <w:rPr>
          <w:lang w:val="en-US"/>
        </w:rPr>
      </w:pPr>
      <w:r>
        <w:rPr>
          <w:lang w:val="en-US"/>
        </w:rPr>
        <w:t xml:space="preserve">Detection of suicide incidences is essential to consider especially considering that there is a need to create a greater understanding of essential changes which help in defining better outcomes. Individuals who closely interact with inmates are expected to play a vital role which helps in detecting suicide issues. Prison officers and the </w:t>
      </w:r>
      <w:r w:rsidR="00B87CEE">
        <w:rPr>
          <w:lang w:val="en-US"/>
        </w:rPr>
        <w:t>infirmary</w:t>
      </w:r>
      <w:r>
        <w:rPr>
          <w:lang w:val="en-US"/>
        </w:rPr>
        <w:t xml:space="preserve"> officers are better placed in creating a strong commitment where it is possible to define essential elements which can help create a </w:t>
      </w:r>
      <w:r w:rsidR="00B87CEE">
        <w:rPr>
          <w:lang w:val="en-US"/>
        </w:rPr>
        <w:t>highly</w:t>
      </w:r>
      <w:r>
        <w:rPr>
          <w:lang w:val="en-US"/>
        </w:rPr>
        <w:t xml:space="preserve"> productive environment. Prison officers are always in </w:t>
      </w:r>
      <w:r w:rsidR="00B87CEE">
        <w:rPr>
          <w:lang w:val="en-US"/>
        </w:rPr>
        <w:t>interaction</w:t>
      </w:r>
      <w:r>
        <w:rPr>
          <w:lang w:val="en-US"/>
        </w:rPr>
        <w:t xml:space="preserve"> with the inmates which help in determining behavioural changes among inmates</w:t>
      </w:r>
      <w:r w:rsidR="00BE445E">
        <w:rPr>
          <w:lang w:val="en-US"/>
        </w:rPr>
        <w:t xml:space="preserve"> ( </w:t>
      </w:r>
      <w:r w:rsidR="00BE445E" w:rsidRPr="00BE445E">
        <w:t>Liebling, &amp; Ludlow,</w:t>
      </w:r>
      <w:r w:rsidR="00BE445E">
        <w:rPr>
          <w:lang w:val="en-US"/>
        </w:rPr>
        <w:t xml:space="preserve"> </w:t>
      </w:r>
      <w:r w:rsidR="00BE445E" w:rsidRPr="00BE445E">
        <w:t>2016).</w:t>
      </w:r>
    </w:p>
    <w:p w14:paraId="48C65D95" w14:textId="77777777" w:rsidR="00805095" w:rsidRPr="00805095" w:rsidRDefault="00FF2CAE" w:rsidP="00BE445E">
      <w:pPr>
        <w:spacing w:line="480" w:lineRule="auto"/>
        <w:ind w:firstLine="720"/>
        <w:jc w:val="both"/>
        <w:rPr>
          <w:lang w:val="en-US"/>
        </w:rPr>
      </w:pPr>
      <w:r w:rsidRPr="00805095">
        <w:rPr>
          <w:lang w:val="en-US"/>
        </w:rPr>
        <w:t xml:space="preserve">What would the interventions look like? What would be some of the policies and procedures that you might implement to ensure that best practices are met? </w:t>
      </w:r>
    </w:p>
    <w:p w14:paraId="1C53DA16" w14:textId="3716ADD3" w:rsidR="00805095" w:rsidRPr="00BE445E" w:rsidRDefault="00FF2CAE" w:rsidP="00BE445E">
      <w:pPr>
        <w:spacing w:line="480" w:lineRule="auto"/>
        <w:ind w:firstLine="720"/>
        <w:jc w:val="both"/>
        <w:rPr>
          <w:lang w:val="en-US"/>
        </w:rPr>
      </w:pPr>
      <w:r>
        <w:rPr>
          <w:lang w:val="en-US"/>
        </w:rPr>
        <w:t xml:space="preserve">The best intervention to consider in this case is to focus on cognitive </w:t>
      </w:r>
      <w:r w:rsidR="00B87CEE">
        <w:rPr>
          <w:lang w:val="en-US"/>
        </w:rPr>
        <w:t>behavioural</w:t>
      </w:r>
      <w:r>
        <w:rPr>
          <w:lang w:val="en-US"/>
        </w:rPr>
        <w:t xml:space="preserve"> based intervention where an </w:t>
      </w:r>
      <w:r w:rsidR="00B87CEE">
        <w:rPr>
          <w:lang w:val="en-US"/>
        </w:rPr>
        <w:t>inmate</w:t>
      </w:r>
      <w:r>
        <w:rPr>
          <w:lang w:val="en-US"/>
        </w:rPr>
        <w:t xml:space="preserve"> is taken </w:t>
      </w:r>
      <w:r w:rsidR="00BE445E">
        <w:rPr>
          <w:lang w:val="en-US"/>
        </w:rPr>
        <w:t>through a</w:t>
      </w:r>
      <w:r>
        <w:rPr>
          <w:lang w:val="en-US"/>
        </w:rPr>
        <w:t xml:space="preserve"> series of sessions which are aimed at understanding the source of the suicide thoughts and integrate essential changes which can help in improving their overall wellbeing. Focusing on mental wellbeing is essential especially taking into consideration the need to ensure that inmates are mentally strong to overcome such challenges. Thus some of the policies that I would consider is the regular mental health session among all inmates in an attempt to create a highly committed environment. This policy is essential and is based on essential elements which are essential in managing the wellbeing of inmates</w:t>
      </w:r>
      <w:r w:rsidR="00BE445E">
        <w:rPr>
          <w:lang w:val="en-US"/>
        </w:rPr>
        <w:t xml:space="preserve"> (</w:t>
      </w:r>
      <w:r w:rsidR="00BE445E" w:rsidRPr="00BE445E">
        <w:t>Gooding</w:t>
      </w:r>
      <w:r w:rsidR="00BE445E">
        <w:rPr>
          <w:lang w:val="en-US"/>
        </w:rPr>
        <w:t xml:space="preserve"> et al., 2017).</w:t>
      </w:r>
    </w:p>
    <w:p w14:paraId="28A893FC" w14:textId="5F5A1175" w:rsidR="00805095" w:rsidRDefault="00FF2CAE" w:rsidP="00BE445E">
      <w:pPr>
        <w:spacing w:line="480" w:lineRule="auto"/>
        <w:ind w:firstLine="720"/>
        <w:jc w:val="both"/>
        <w:rPr>
          <w:lang w:val="en-US"/>
        </w:rPr>
      </w:pPr>
      <w:r>
        <w:rPr>
          <w:lang w:val="en-US"/>
        </w:rPr>
        <w:lastRenderedPageBreak/>
        <w:t xml:space="preserve">Different inmates require different levels of engagement, and thus an important thing to consider is to understand the mental wellbeing of each of the inmate and ensure that they are engaged in groups which will help in improving the level of engagement where it is possible to understand and relate with the experiences of each other. These concepts are significant considering that they focus on enhancing </w:t>
      </w:r>
      <w:r w:rsidR="00BE445E">
        <w:rPr>
          <w:lang w:val="en-US"/>
        </w:rPr>
        <w:t>inmate behaviour based on a highly interactive setting rather than making it difficult for inmates to relate and interact with each other.</w:t>
      </w:r>
    </w:p>
    <w:p w14:paraId="29D42A3A" w14:textId="48116981" w:rsidR="00BE445E" w:rsidRPr="00BE445E" w:rsidRDefault="00FF2CAE" w:rsidP="00BE445E">
      <w:pPr>
        <w:spacing w:line="480" w:lineRule="auto"/>
        <w:ind w:firstLine="720"/>
        <w:jc w:val="both"/>
        <w:rPr>
          <w:lang w:val="en-US"/>
        </w:rPr>
      </w:pPr>
      <w:r w:rsidRPr="00BE445E">
        <w:rPr>
          <w:lang w:val="en-US"/>
        </w:rPr>
        <w:t>An individual that is having PSTD is defined as an individual who has previously been exposed to a traumatic event, which threatened his or her life or integrity.it results into a feeling of being helpless. The signs that are evaluated in this case include lack of sleep, anger outbursts and the inability to recall significant events of the trauma. The decision that is made based on the assessment provide a very enabled setting where it is easier to make an accurate determination regarding the best choice which focuses on improving the wellbeing of the officer</w:t>
      </w:r>
      <w:r>
        <w:rPr>
          <w:lang w:val="en-US"/>
        </w:rPr>
        <w:t xml:space="preserve"> (</w:t>
      </w:r>
      <w:r w:rsidRPr="00BE445E">
        <w:t>Stokes</w:t>
      </w:r>
      <w:r>
        <w:rPr>
          <w:lang w:val="en-US"/>
        </w:rPr>
        <w:t xml:space="preserve"> et al., 2015).</w:t>
      </w:r>
    </w:p>
    <w:p w14:paraId="589350FD" w14:textId="2696D579" w:rsidR="00BE445E" w:rsidRDefault="00BE445E" w:rsidP="00BE445E">
      <w:pPr>
        <w:rPr>
          <w:lang w:val="en-US"/>
        </w:rPr>
      </w:pPr>
    </w:p>
    <w:p w14:paraId="0985DA26" w14:textId="77777777" w:rsidR="00BE445E" w:rsidRDefault="00BE445E" w:rsidP="00BE445E">
      <w:pPr>
        <w:rPr>
          <w:lang w:val="en-US"/>
        </w:rPr>
      </w:pPr>
    </w:p>
    <w:p w14:paraId="20C554B0" w14:textId="77777777" w:rsidR="00BE445E" w:rsidRDefault="00BE445E" w:rsidP="00BE445E">
      <w:pPr>
        <w:rPr>
          <w:lang w:val="en-US"/>
        </w:rPr>
      </w:pPr>
    </w:p>
    <w:p w14:paraId="5EB6E547" w14:textId="77777777" w:rsidR="00BE445E" w:rsidRDefault="00BE445E" w:rsidP="00BE445E">
      <w:pPr>
        <w:rPr>
          <w:lang w:val="en-US"/>
        </w:rPr>
      </w:pPr>
    </w:p>
    <w:p w14:paraId="2FF4825E" w14:textId="77777777" w:rsidR="00BE445E" w:rsidRDefault="00BE445E" w:rsidP="00BE445E">
      <w:pPr>
        <w:rPr>
          <w:lang w:val="en-US"/>
        </w:rPr>
      </w:pPr>
    </w:p>
    <w:p w14:paraId="1BC8A7D4" w14:textId="77777777" w:rsidR="00BE445E" w:rsidRDefault="00BE445E" w:rsidP="00BE445E">
      <w:pPr>
        <w:rPr>
          <w:lang w:val="en-US"/>
        </w:rPr>
      </w:pPr>
    </w:p>
    <w:p w14:paraId="20F32A30" w14:textId="77777777" w:rsidR="00BE445E" w:rsidRDefault="00BE445E" w:rsidP="00BE445E">
      <w:pPr>
        <w:rPr>
          <w:lang w:val="en-US"/>
        </w:rPr>
      </w:pPr>
    </w:p>
    <w:p w14:paraId="24A1FD78" w14:textId="77777777" w:rsidR="00BE445E" w:rsidRDefault="00BE445E" w:rsidP="00BE445E">
      <w:pPr>
        <w:rPr>
          <w:lang w:val="en-US"/>
        </w:rPr>
      </w:pPr>
    </w:p>
    <w:p w14:paraId="23BCDE78" w14:textId="77777777" w:rsidR="00BE445E" w:rsidRDefault="00BE445E" w:rsidP="00BE445E">
      <w:pPr>
        <w:rPr>
          <w:lang w:val="en-US"/>
        </w:rPr>
      </w:pPr>
    </w:p>
    <w:p w14:paraId="25FD5297" w14:textId="77777777" w:rsidR="00BE445E" w:rsidRDefault="00BE445E" w:rsidP="00BE445E">
      <w:pPr>
        <w:rPr>
          <w:lang w:val="en-US"/>
        </w:rPr>
      </w:pPr>
    </w:p>
    <w:p w14:paraId="3FD31227" w14:textId="77777777" w:rsidR="00BE445E" w:rsidRDefault="00BE445E" w:rsidP="00BE445E">
      <w:pPr>
        <w:rPr>
          <w:lang w:val="en-US"/>
        </w:rPr>
      </w:pPr>
    </w:p>
    <w:p w14:paraId="12E8A834" w14:textId="77777777" w:rsidR="00BE445E" w:rsidRDefault="00BE445E" w:rsidP="00BE445E">
      <w:pPr>
        <w:rPr>
          <w:lang w:val="en-US"/>
        </w:rPr>
      </w:pPr>
    </w:p>
    <w:p w14:paraId="70D4F73D" w14:textId="77777777" w:rsidR="00BE445E" w:rsidRDefault="00BE445E" w:rsidP="00BE445E">
      <w:pPr>
        <w:rPr>
          <w:lang w:val="en-US"/>
        </w:rPr>
      </w:pPr>
    </w:p>
    <w:p w14:paraId="5708F048" w14:textId="77777777" w:rsidR="00BE445E" w:rsidRDefault="00BE445E" w:rsidP="00BE445E">
      <w:pPr>
        <w:rPr>
          <w:lang w:val="en-US"/>
        </w:rPr>
      </w:pPr>
    </w:p>
    <w:p w14:paraId="03885B74" w14:textId="0CF6EA8D" w:rsidR="00BE445E" w:rsidRDefault="00FF2CAE" w:rsidP="00BE445E">
      <w:pPr>
        <w:jc w:val="center"/>
        <w:rPr>
          <w:lang w:val="en-US"/>
        </w:rPr>
      </w:pPr>
      <w:r>
        <w:rPr>
          <w:lang w:val="en-US"/>
        </w:rPr>
        <w:lastRenderedPageBreak/>
        <w:t>References</w:t>
      </w:r>
    </w:p>
    <w:p w14:paraId="5C620E2A" w14:textId="77777777" w:rsidR="00BE445E" w:rsidRDefault="00FF2CAE" w:rsidP="00BE445E">
      <w:pPr>
        <w:spacing w:line="480" w:lineRule="auto"/>
        <w:ind w:left="720" w:hanging="720"/>
      </w:pPr>
      <w:r w:rsidRPr="00BE445E">
        <w:t>Cole, G. F., Smith, C. E., &amp; DeJong, C. (2018). </w:t>
      </w:r>
      <w:r w:rsidRPr="00BE445E">
        <w:rPr>
          <w:i/>
          <w:iCs/>
        </w:rPr>
        <w:t>The American system of criminal justice</w:t>
      </w:r>
      <w:r w:rsidRPr="00BE445E">
        <w:t>. Cengage Learning.</w:t>
      </w:r>
    </w:p>
    <w:p w14:paraId="38C64B0C" w14:textId="77777777" w:rsidR="00BE445E" w:rsidRPr="00BE445E" w:rsidRDefault="00FF2CAE" w:rsidP="00BE445E">
      <w:pPr>
        <w:spacing w:line="480" w:lineRule="auto"/>
        <w:ind w:left="720" w:hanging="720"/>
        <w:rPr>
          <w:lang w:val="en-US"/>
        </w:rPr>
      </w:pPr>
      <w:r w:rsidRPr="00BE445E">
        <w:t>Gooding, P. A., Tarrier, N., Dunn, G., Awenat, Y., Shaw, J., Ulph, F., &amp; Pratt, D. (2017). Psychological characteristics and predictors of suicide probability in high-risk prisoners. </w:t>
      </w:r>
      <w:r w:rsidRPr="00BE445E">
        <w:rPr>
          <w:i/>
          <w:iCs/>
        </w:rPr>
        <w:t>Criminal justice and behavior</w:t>
      </w:r>
      <w:r w:rsidRPr="00BE445E">
        <w:t>, </w:t>
      </w:r>
      <w:r w:rsidRPr="00BE445E">
        <w:rPr>
          <w:i/>
          <w:iCs/>
        </w:rPr>
        <w:t>44</w:t>
      </w:r>
      <w:r w:rsidRPr="00BE445E">
        <w:t>(3), 321-335.</w:t>
      </w:r>
    </w:p>
    <w:p w14:paraId="2A39E832" w14:textId="77777777" w:rsidR="00BE445E" w:rsidRDefault="00FF2CAE" w:rsidP="00BE445E">
      <w:pPr>
        <w:spacing w:line="480" w:lineRule="auto"/>
        <w:ind w:left="720" w:hanging="720"/>
      </w:pPr>
      <w:r w:rsidRPr="00BE445E">
        <w:t>Liebling, A., &amp; Ludlow, A. (2016). Suicide, distress and the quality of prison life. </w:t>
      </w:r>
      <w:r w:rsidRPr="00BE445E">
        <w:rPr>
          <w:i/>
          <w:iCs/>
        </w:rPr>
        <w:t>Handbook on prisons</w:t>
      </w:r>
      <w:r w:rsidRPr="00BE445E">
        <w:t>, </w:t>
      </w:r>
      <w:r w:rsidRPr="00BE445E">
        <w:rPr>
          <w:i/>
          <w:iCs/>
        </w:rPr>
        <w:t>224</w:t>
      </w:r>
      <w:r w:rsidRPr="00BE445E">
        <w:t>.</w:t>
      </w:r>
    </w:p>
    <w:p w14:paraId="0A8DA208" w14:textId="77777777" w:rsidR="00BE445E" w:rsidRDefault="00FF2CAE" w:rsidP="00BE445E">
      <w:pPr>
        <w:spacing w:line="480" w:lineRule="auto"/>
        <w:ind w:left="720" w:hanging="720"/>
      </w:pPr>
      <w:r w:rsidRPr="00BE445E">
        <w:t>Stokes, M. L., McCoy, K. P., Abram, K. M., Byck, G. R., &amp; Teplin, L. A. (2015). Suicidal ideation and behavior in youth in the juvenile justice system: a review of the literature. </w:t>
      </w:r>
      <w:r w:rsidRPr="00BE445E">
        <w:rPr>
          <w:i/>
          <w:iCs/>
        </w:rPr>
        <w:t>Journal of correctional health care</w:t>
      </w:r>
      <w:r w:rsidRPr="00BE445E">
        <w:t>, </w:t>
      </w:r>
      <w:r w:rsidRPr="00BE445E">
        <w:rPr>
          <w:i/>
          <w:iCs/>
        </w:rPr>
        <w:t>21</w:t>
      </w:r>
      <w:r w:rsidRPr="00BE445E">
        <w:t>(3), 222-242.</w:t>
      </w:r>
    </w:p>
    <w:p w14:paraId="1D5C963D" w14:textId="77777777" w:rsidR="00BE445E" w:rsidRPr="00805095" w:rsidRDefault="00BE445E" w:rsidP="00805095">
      <w:pPr>
        <w:rPr>
          <w:lang w:val="en-US"/>
        </w:rPr>
      </w:pPr>
    </w:p>
    <w:p w14:paraId="6372C4F9" w14:textId="77777777" w:rsidR="00B55E60" w:rsidRDefault="00B55E60" w:rsidP="00785722">
      <w:pPr>
        <w:rPr>
          <w:lang w:val="en-US"/>
        </w:rPr>
      </w:pPr>
    </w:p>
    <w:p w14:paraId="6718CE2A" w14:textId="77777777" w:rsidR="00B55E60" w:rsidRPr="00785722" w:rsidRDefault="00B55E60" w:rsidP="00785722">
      <w:pPr>
        <w:rPr>
          <w:lang w:val="en-US"/>
        </w:rPr>
      </w:pPr>
    </w:p>
    <w:p w14:paraId="30DD06E8" w14:textId="77777777" w:rsidR="00785722" w:rsidRPr="00785722" w:rsidRDefault="00785722">
      <w:pPr>
        <w:rPr>
          <w:lang w:val="en-US"/>
        </w:rPr>
      </w:pPr>
    </w:p>
    <w:sectPr w:rsidR="00785722" w:rsidRPr="00785722" w:rsidSect="00BE445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FC7C1" w14:textId="77777777" w:rsidR="00A53A55" w:rsidRDefault="00A53A55">
      <w:pPr>
        <w:spacing w:after="0" w:line="240" w:lineRule="auto"/>
      </w:pPr>
      <w:r>
        <w:separator/>
      </w:r>
    </w:p>
  </w:endnote>
  <w:endnote w:type="continuationSeparator" w:id="0">
    <w:p w14:paraId="34983AA6" w14:textId="77777777" w:rsidR="00A53A55" w:rsidRDefault="00A53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24DB1" w14:textId="77777777" w:rsidR="00A53A55" w:rsidRDefault="00A53A55">
      <w:pPr>
        <w:spacing w:after="0" w:line="240" w:lineRule="auto"/>
      </w:pPr>
      <w:r>
        <w:separator/>
      </w:r>
    </w:p>
  </w:footnote>
  <w:footnote w:type="continuationSeparator" w:id="0">
    <w:p w14:paraId="7B071585" w14:textId="77777777" w:rsidR="00A53A55" w:rsidRDefault="00A53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5BAA3" w14:textId="573401F5" w:rsidR="00BE445E" w:rsidRDefault="00FF2CAE">
    <w:pPr>
      <w:pStyle w:val="Header"/>
      <w:jc w:val="right"/>
    </w:pPr>
    <w:r w:rsidRPr="00BE445E">
      <w:rPr>
        <w:lang w:val="en-US"/>
      </w:rPr>
      <w:t xml:space="preserve">SUICIDE IN CRIMINAL JUSTICE INSTITUTIONS </w:t>
    </w:r>
    <w:r>
      <w:rPr>
        <w:lang w:val="en-US"/>
      </w:rPr>
      <w:t xml:space="preserve">                                                      </w:t>
    </w:r>
    <w:sdt>
      <w:sdtPr>
        <w:id w:val="-296526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4B9FCC1" w14:textId="77777777" w:rsidR="00BE445E" w:rsidRDefault="00BE44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45EAE" w14:textId="33D27A13" w:rsidR="00BE445E" w:rsidRDefault="00FF2CAE">
    <w:pPr>
      <w:pStyle w:val="Header"/>
      <w:jc w:val="right"/>
    </w:pPr>
    <w:r>
      <w:rPr>
        <w:lang w:val="en-US"/>
      </w:rPr>
      <w:t xml:space="preserve">Running head: </w:t>
    </w:r>
    <w:r w:rsidRPr="00BE445E">
      <w:rPr>
        <w:lang w:val="en-US"/>
      </w:rPr>
      <w:t>SUICIDE IN CRIMINAL JUSTICE INSTITUTIONS</w:t>
    </w:r>
    <w:r>
      <w:rPr>
        <w:lang w:val="en-US"/>
      </w:rPr>
      <w:t xml:space="preserve">                                   </w:t>
    </w:r>
    <w:sdt>
      <w:sdtPr>
        <w:id w:val="18213123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29C186" w14:textId="77777777" w:rsidR="00BE445E" w:rsidRDefault="00BE4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052A0"/>
    <w:multiLevelType w:val="multilevel"/>
    <w:tmpl w:val="1D5E0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wMzA0NjAyNwISFko6SsGpxcWZ+XkgBYa1AAkhj8gsAAAA"/>
  </w:docVars>
  <w:rsids>
    <w:rsidRoot w:val="00785722"/>
    <w:rsid w:val="003B567E"/>
    <w:rsid w:val="00785722"/>
    <w:rsid w:val="00805095"/>
    <w:rsid w:val="00982D3B"/>
    <w:rsid w:val="00A53A55"/>
    <w:rsid w:val="00AE5851"/>
    <w:rsid w:val="00B55E60"/>
    <w:rsid w:val="00B87CEE"/>
    <w:rsid w:val="00BE445E"/>
    <w:rsid w:val="00F516B6"/>
    <w:rsid w:val="00FF2CA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947B6-DB76-485D-8ACF-20E2F2A8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445E"/>
  </w:style>
  <w:style w:type="paragraph" w:styleId="Footer">
    <w:name w:val="footer"/>
    <w:basedOn w:val="Normal"/>
    <w:link w:val="FooterChar"/>
    <w:uiPriority w:val="99"/>
    <w:unhideWhenUsed/>
    <w:rsid w:val="00BE44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4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2019-01-27T10:55:00Z</dcterms:created>
  <dcterms:modified xsi:type="dcterms:W3CDTF">2019-01-27T10:55:00Z</dcterms:modified>
</cp:coreProperties>
</file>